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6781" w14:textId="2CBED767" w:rsidR="00301792" w:rsidRDefault="00301792" w:rsidP="00301792">
      <w:pPr>
        <w:spacing w:after="0"/>
        <w:jc w:val="center"/>
        <w:rPr>
          <w:rFonts w:ascii="Arial" w:hAnsi="Arial" w:cs="Arial"/>
        </w:rPr>
      </w:pPr>
      <w:r>
        <w:rPr>
          <w:rFonts w:ascii="Arial" w:hAnsi="Arial" w:cs="Arial"/>
        </w:rPr>
        <w:t>Recycling centre update</w:t>
      </w:r>
    </w:p>
    <w:p w14:paraId="305A5ECA" w14:textId="29855E1B" w:rsidR="00301792" w:rsidRDefault="00301792" w:rsidP="00301792">
      <w:pPr>
        <w:spacing w:after="0"/>
        <w:jc w:val="center"/>
        <w:rPr>
          <w:rFonts w:ascii="Arial" w:hAnsi="Arial" w:cs="Arial"/>
        </w:rPr>
      </w:pPr>
      <w:r>
        <w:rPr>
          <w:rFonts w:ascii="Arial" w:hAnsi="Arial" w:cs="Arial"/>
        </w:rPr>
        <w:t>Thursday 11 March 2021</w:t>
      </w:r>
    </w:p>
    <w:p w14:paraId="7C77F88A" w14:textId="77777777" w:rsidR="00301792" w:rsidRDefault="00301792" w:rsidP="00301792">
      <w:pPr>
        <w:spacing w:after="0"/>
        <w:jc w:val="center"/>
        <w:rPr>
          <w:rFonts w:ascii="Arial" w:hAnsi="Arial" w:cs="Arial"/>
        </w:rPr>
      </w:pPr>
    </w:p>
    <w:p w14:paraId="2FBEDD5D" w14:textId="77777777" w:rsidR="00301792" w:rsidRDefault="00301792" w:rsidP="006B2CED">
      <w:pPr>
        <w:spacing w:after="0"/>
        <w:rPr>
          <w:rFonts w:ascii="Arial" w:hAnsi="Arial" w:cs="Arial"/>
        </w:rPr>
      </w:pPr>
    </w:p>
    <w:p w14:paraId="3E142237" w14:textId="672C762F" w:rsidR="006B2CED" w:rsidRDefault="006B2CED" w:rsidP="006B2CED">
      <w:pPr>
        <w:spacing w:after="0"/>
        <w:rPr>
          <w:rFonts w:ascii="Helvetica" w:hAnsi="Helvetica" w:cs="Helvetica"/>
          <w:color w:val="333333"/>
        </w:rPr>
      </w:pPr>
      <w:r w:rsidRPr="008508BA">
        <w:rPr>
          <w:rFonts w:ascii="Arial" w:hAnsi="Arial" w:cs="Arial"/>
        </w:rPr>
        <w:t xml:space="preserve">All HWRCs are </w:t>
      </w:r>
      <w:r>
        <w:rPr>
          <w:rFonts w:ascii="Arial" w:hAnsi="Arial" w:cs="Arial"/>
        </w:rPr>
        <w:t xml:space="preserve">open to the public for essential journeys only. However, we are </w:t>
      </w:r>
      <w:r w:rsidRPr="00B54141">
        <w:rPr>
          <w:rFonts w:ascii="Helvetica" w:hAnsi="Helvetica" w:cs="Helvetica"/>
          <w:color w:val="333333"/>
        </w:rPr>
        <w:t xml:space="preserve">currently experiencing many visitors at </w:t>
      </w:r>
      <w:r>
        <w:rPr>
          <w:rFonts w:ascii="Helvetica" w:hAnsi="Helvetica" w:cs="Helvetica"/>
          <w:color w:val="333333"/>
        </w:rPr>
        <w:t>the</w:t>
      </w:r>
      <w:r w:rsidRPr="00B54141">
        <w:rPr>
          <w:rFonts w:ascii="Helvetica" w:hAnsi="Helvetica" w:cs="Helvetica"/>
          <w:color w:val="333333"/>
        </w:rPr>
        <w:t xml:space="preserve"> recycling centres. </w:t>
      </w:r>
    </w:p>
    <w:p w14:paraId="35CC8CA2" w14:textId="033BF700" w:rsidR="006B2CED" w:rsidRDefault="006B2CED" w:rsidP="006B2CED">
      <w:pPr>
        <w:spacing w:after="0"/>
        <w:rPr>
          <w:rFonts w:ascii="Helvetica" w:hAnsi="Helvetica" w:cs="Helvetica"/>
          <w:color w:val="333333"/>
        </w:rPr>
      </w:pPr>
    </w:p>
    <w:p w14:paraId="59BD2F76" w14:textId="69483ED3" w:rsidR="006B2CED" w:rsidRPr="003875C6" w:rsidRDefault="006B2CED" w:rsidP="006B2CED">
      <w:pPr>
        <w:spacing w:after="0"/>
        <w:rPr>
          <w:rFonts w:ascii="Helvetica" w:hAnsi="Helvetica" w:cs="Helvetica"/>
        </w:rPr>
      </w:pPr>
      <w:r w:rsidRPr="003875C6">
        <w:rPr>
          <w:rFonts w:ascii="Arial" w:hAnsi="Arial" w:cs="Arial"/>
          <w:bCs/>
        </w:rPr>
        <w:t xml:space="preserve">The current </w:t>
      </w:r>
      <w:r w:rsidR="00301792">
        <w:rPr>
          <w:rFonts w:ascii="Arial" w:hAnsi="Arial" w:cs="Arial"/>
          <w:bCs/>
        </w:rPr>
        <w:t xml:space="preserve">winter </w:t>
      </w:r>
      <w:r w:rsidRPr="003875C6">
        <w:rPr>
          <w:rFonts w:ascii="Arial" w:hAnsi="Arial" w:cs="Arial"/>
          <w:bCs/>
        </w:rPr>
        <w:t>opening times are due to change</w:t>
      </w:r>
      <w:r w:rsidR="00301792">
        <w:rPr>
          <w:rFonts w:ascii="Arial" w:hAnsi="Arial" w:cs="Arial"/>
          <w:bCs/>
        </w:rPr>
        <w:t xml:space="preserve"> to summer opening times</w:t>
      </w:r>
      <w:r w:rsidRPr="003875C6">
        <w:rPr>
          <w:rFonts w:ascii="Arial" w:hAnsi="Arial" w:cs="Arial"/>
          <w:bCs/>
        </w:rPr>
        <w:t xml:space="preserve"> from 1 April; however, due to the increased number of visitors using the</w:t>
      </w:r>
      <w:r w:rsidR="003875C6" w:rsidRPr="003875C6">
        <w:rPr>
          <w:rFonts w:ascii="Arial" w:hAnsi="Arial" w:cs="Arial"/>
          <w:bCs/>
        </w:rPr>
        <w:t xml:space="preserve"> Winsford, Northwich, Ellesmere Port and Chester</w:t>
      </w:r>
      <w:r w:rsidRPr="003875C6">
        <w:rPr>
          <w:rFonts w:ascii="Arial" w:hAnsi="Arial" w:cs="Arial"/>
          <w:bCs/>
        </w:rPr>
        <w:t xml:space="preserve"> recycling centres we are extending the opening hours of </w:t>
      </w:r>
      <w:r w:rsidR="003875C6" w:rsidRPr="003875C6">
        <w:rPr>
          <w:rFonts w:ascii="Arial" w:hAnsi="Arial" w:cs="Arial"/>
          <w:bCs/>
        </w:rPr>
        <w:t xml:space="preserve">those </w:t>
      </w:r>
      <w:r w:rsidRPr="003875C6">
        <w:rPr>
          <w:rFonts w:ascii="Arial" w:hAnsi="Arial" w:cs="Arial"/>
          <w:bCs/>
        </w:rPr>
        <w:t xml:space="preserve">sites </w:t>
      </w:r>
      <w:r w:rsidR="003875C6" w:rsidRPr="003875C6">
        <w:rPr>
          <w:rFonts w:ascii="Arial" w:hAnsi="Arial" w:cs="Arial"/>
          <w:bCs/>
        </w:rPr>
        <w:t xml:space="preserve">by </w:t>
      </w:r>
      <w:r w:rsidRPr="003875C6">
        <w:rPr>
          <w:rFonts w:ascii="Arial" w:hAnsi="Arial" w:cs="Arial"/>
          <w:bCs/>
        </w:rPr>
        <w:t>2 hours at the end of the</w:t>
      </w:r>
      <w:r w:rsidR="00301792">
        <w:rPr>
          <w:rFonts w:ascii="Arial" w:hAnsi="Arial" w:cs="Arial"/>
          <w:bCs/>
        </w:rPr>
        <w:t xml:space="preserve"> scheduled opening</w:t>
      </w:r>
      <w:r w:rsidRPr="003875C6">
        <w:rPr>
          <w:rFonts w:ascii="Arial" w:hAnsi="Arial" w:cs="Arial"/>
          <w:bCs/>
        </w:rPr>
        <w:t xml:space="preserve"> day</w:t>
      </w:r>
      <w:r w:rsidR="00301792">
        <w:rPr>
          <w:rFonts w:ascii="Arial" w:hAnsi="Arial" w:cs="Arial"/>
          <w:bCs/>
        </w:rPr>
        <w:t>s</w:t>
      </w:r>
      <w:r w:rsidRPr="003875C6">
        <w:rPr>
          <w:rFonts w:ascii="Arial" w:hAnsi="Arial" w:cs="Arial"/>
          <w:bCs/>
        </w:rPr>
        <w:t xml:space="preserve">.  </w:t>
      </w:r>
    </w:p>
    <w:p w14:paraId="2FE2DDF8" w14:textId="77777777" w:rsidR="006B2CED" w:rsidRDefault="006B2CED" w:rsidP="006B2CED">
      <w:pPr>
        <w:spacing w:after="0"/>
        <w:rPr>
          <w:rFonts w:ascii="Helvetica" w:hAnsi="Helvetica" w:cs="Helvetica"/>
          <w:color w:val="333333"/>
        </w:rPr>
      </w:pPr>
    </w:p>
    <w:p w14:paraId="37AD80DE" w14:textId="77777777" w:rsidR="006B2CED" w:rsidRDefault="006B2CED" w:rsidP="006B2CED">
      <w:pPr>
        <w:spacing w:after="0"/>
        <w:rPr>
          <w:rFonts w:ascii="Arial" w:hAnsi="Arial" w:cs="Arial"/>
        </w:rPr>
      </w:pPr>
    </w:p>
    <w:p w14:paraId="46F7E158" w14:textId="77777777" w:rsidR="00301792" w:rsidRDefault="00EA28D4" w:rsidP="006B2CED">
      <w:pPr>
        <w:spacing w:after="0"/>
        <w:rPr>
          <w:rFonts w:ascii="Arial" w:hAnsi="Arial" w:cs="Arial"/>
        </w:rPr>
      </w:pPr>
      <w:r>
        <w:rPr>
          <w:rFonts w:ascii="Arial" w:hAnsi="Arial" w:cs="Arial"/>
        </w:rPr>
        <w:t>From Friday 12 March</w:t>
      </w:r>
      <w:r w:rsidR="00301792">
        <w:rPr>
          <w:rFonts w:ascii="Arial" w:hAnsi="Arial" w:cs="Arial"/>
        </w:rPr>
        <w:t>:</w:t>
      </w:r>
    </w:p>
    <w:p w14:paraId="20D92539" w14:textId="77777777" w:rsidR="00301792" w:rsidRDefault="006B2CED" w:rsidP="00301792">
      <w:pPr>
        <w:pStyle w:val="ListParagraph"/>
        <w:numPr>
          <w:ilvl w:val="0"/>
          <w:numId w:val="1"/>
        </w:numPr>
        <w:spacing w:after="0"/>
        <w:rPr>
          <w:rFonts w:ascii="Arial" w:hAnsi="Arial" w:cs="Arial"/>
        </w:rPr>
      </w:pPr>
      <w:r w:rsidRPr="00301792">
        <w:rPr>
          <w:rFonts w:ascii="Arial" w:hAnsi="Arial" w:cs="Arial"/>
        </w:rPr>
        <w:t>Winsford, Chester and Ellesmere Port</w:t>
      </w:r>
      <w:r w:rsidR="00EA28D4" w:rsidRPr="00301792">
        <w:rPr>
          <w:rFonts w:ascii="Arial" w:hAnsi="Arial" w:cs="Arial"/>
        </w:rPr>
        <w:t xml:space="preserve"> recycling centres are open </w:t>
      </w:r>
      <w:r w:rsidRPr="00301792">
        <w:rPr>
          <w:rFonts w:ascii="Arial" w:hAnsi="Arial" w:cs="Arial"/>
        </w:rPr>
        <w:t xml:space="preserve">7 days a week from 8am to </w:t>
      </w:r>
      <w:r w:rsidR="00EA28D4" w:rsidRPr="00301792">
        <w:rPr>
          <w:rFonts w:ascii="Arial" w:hAnsi="Arial" w:cs="Arial"/>
        </w:rPr>
        <w:t>6</w:t>
      </w:r>
      <w:r w:rsidRPr="00301792">
        <w:rPr>
          <w:rFonts w:ascii="Arial" w:hAnsi="Arial" w:cs="Arial"/>
        </w:rPr>
        <w:t xml:space="preserve">pm. </w:t>
      </w:r>
      <w:r w:rsidR="00EA28D4" w:rsidRPr="00301792">
        <w:rPr>
          <w:rFonts w:ascii="Arial" w:hAnsi="Arial" w:cs="Arial"/>
        </w:rPr>
        <w:t xml:space="preserve"> </w:t>
      </w:r>
    </w:p>
    <w:p w14:paraId="57A175B3" w14:textId="65B52F19" w:rsidR="00301792" w:rsidRDefault="00EA28D4" w:rsidP="00301792">
      <w:pPr>
        <w:pStyle w:val="ListParagraph"/>
        <w:numPr>
          <w:ilvl w:val="0"/>
          <w:numId w:val="1"/>
        </w:numPr>
        <w:spacing w:after="0"/>
        <w:rPr>
          <w:rFonts w:ascii="Arial" w:hAnsi="Arial" w:cs="Arial"/>
        </w:rPr>
      </w:pPr>
      <w:r w:rsidRPr="00301792">
        <w:rPr>
          <w:rFonts w:ascii="Arial" w:hAnsi="Arial" w:cs="Arial"/>
        </w:rPr>
        <w:t xml:space="preserve">Northwich site will be open five days a week from 8am – </w:t>
      </w:r>
      <w:r w:rsidR="00FB62B8">
        <w:rPr>
          <w:rFonts w:ascii="Arial" w:hAnsi="Arial" w:cs="Arial"/>
        </w:rPr>
        <w:t>5</w:t>
      </w:r>
      <w:r w:rsidRPr="00301792">
        <w:rPr>
          <w:rFonts w:ascii="Arial" w:hAnsi="Arial" w:cs="Arial"/>
        </w:rPr>
        <w:t xml:space="preserve">pm </w:t>
      </w:r>
    </w:p>
    <w:p w14:paraId="16359546" w14:textId="20577EA0" w:rsidR="006B2CED" w:rsidRPr="00301792" w:rsidRDefault="00EA28D4" w:rsidP="00301792">
      <w:pPr>
        <w:pStyle w:val="ListParagraph"/>
        <w:numPr>
          <w:ilvl w:val="0"/>
          <w:numId w:val="1"/>
        </w:numPr>
        <w:spacing w:after="0"/>
        <w:rPr>
          <w:rFonts w:ascii="Arial" w:hAnsi="Arial" w:cs="Arial"/>
        </w:rPr>
      </w:pPr>
      <w:r w:rsidRPr="00301792">
        <w:rPr>
          <w:rFonts w:ascii="Helvetica" w:hAnsi="Helvetica" w:cs="Helvetica"/>
          <w:color w:val="333333"/>
        </w:rPr>
        <w:t xml:space="preserve">Neston Frodsham and </w:t>
      </w:r>
      <w:proofErr w:type="spellStart"/>
      <w:r w:rsidRPr="00301792">
        <w:rPr>
          <w:rFonts w:ascii="Helvetica" w:hAnsi="Helvetica" w:cs="Helvetica"/>
          <w:color w:val="333333"/>
        </w:rPr>
        <w:t>Tattenhall</w:t>
      </w:r>
      <w:proofErr w:type="spellEnd"/>
      <w:r w:rsidRPr="00301792">
        <w:rPr>
          <w:rFonts w:ascii="Helvetica" w:hAnsi="Helvetica" w:cs="Helvetica"/>
          <w:color w:val="333333"/>
        </w:rPr>
        <w:t xml:space="preserve"> sites will continue to close promptly at 4pm.</w:t>
      </w:r>
    </w:p>
    <w:p w14:paraId="20AC62FE" w14:textId="77777777" w:rsidR="006B2CED" w:rsidRDefault="006B2CED" w:rsidP="006B2CED">
      <w:pPr>
        <w:spacing w:after="0"/>
        <w:rPr>
          <w:rFonts w:ascii="Arial" w:hAnsi="Arial" w:cs="Arial"/>
        </w:rPr>
      </w:pPr>
    </w:p>
    <w:p w14:paraId="105E6578" w14:textId="77777777" w:rsidR="006B2CED" w:rsidRPr="008508BA" w:rsidRDefault="006B2CED" w:rsidP="006B2CED">
      <w:pPr>
        <w:spacing w:after="0"/>
        <w:rPr>
          <w:rFonts w:ascii="Arial" w:hAnsi="Arial" w:cs="Arial"/>
        </w:rPr>
      </w:pPr>
      <w:r w:rsidRPr="008508BA">
        <w:rPr>
          <w:rFonts w:ascii="Arial" w:hAnsi="Arial" w:cs="Arial"/>
        </w:rPr>
        <w:t xml:space="preserve">Secondary site opening times are shown below: </w:t>
      </w:r>
    </w:p>
    <w:p w14:paraId="1067731B" w14:textId="77777777" w:rsidR="006B2CED" w:rsidRPr="008508BA" w:rsidRDefault="006B2CED" w:rsidP="006B2CED">
      <w:pPr>
        <w:spacing w:after="0"/>
        <w:rPr>
          <w:rFonts w:ascii="Arial" w:hAnsi="Arial" w:cs="Arial"/>
        </w:rPr>
      </w:pPr>
      <w:r w:rsidRPr="008508BA">
        <w:rPr>
          <w:rFonts w:ascii="Arial" w:hAnsi="Arial" w:cs="Arial"/>
        </w:rPr>
        <w:t xml:space="preserve"> </w:t>
      </w:r>
    </w:p>
    <w:tbl>
      <w:tblPr>
        <w:tblStyle w:val="TableGrid"/>
        <w:tblW w:w="8036" w:type="dxa"/>
        <w:tblLayout w:type="fixed"/>
        <w:tblLook w:val="04A0" w:firstRow="1" w:lastRow="0" w:firstColumn="1" w:lastColumn="0" w:noHBand="0" w:noVBand="1"/>
      </w:tblPr>
      <w:tblGrid>
        <w:gridCol w:w="1478"/>
        <w:gridCol w:w="1501"/>
        <w:gridCol w:w="1501"/>
        <w:gridCol w:w="1647"/>
        <w:gridCol w:w="1909"/>
      </w:tblGrid>
      <w:tr w:rsidR="006B2CED" w:rsidRPr="008508BA" w14:paraId="157D6B7B" w14:textId="77777777" w:rsidTr="00B70151">
        <w:trPr>
          <w:trHeight w:val="150"/>
        </w:trPr>
        <w:tc>
          <w:tcPr>
            <w:tcW w:w="1478" w:type="dxa"/>
          </w:tcPr>
          <w:p w14:paraId="6BB7835C" w14:textId="77777777" w:rsidR="006B2CED" w:rsidRPr="008508BA" w:rsidRDefault="006B2CED" w:rsidP="00B70151">
            <w:pPr>
              <w:jc w:val="center"/>
              <w:rPr>
                <w:rFonts w:ascii="Arial" w:hAnsi="Arial" w:cs="Arial"/>
                <w:sz w:val="22"/>
                <w:szCs w:val="22"/>
              </w:rPr>
            </w:pPr>
          </w:p>
        </w:tc>
        <w:tc>
          <w:tcPr>
            <w:tcW w:w="1501" w:type="dxa"/>
          </w:tcPr>
          <w:p w14:paraId="7A37553B"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Northwich</w:t>
            </w:r>
          </w:p>
        </w:tc>
        <w:tc>
          <w:tcPr>
            <w:tcW w:w="1501" w:type="dxa"/>
          </w:tcPr>
          <w:p w14:paraId="37CDBF88"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Neston</w:t>
            </w:r>
          </w:p>
        </w:tc>
        <w:tc>
          <w:tcPr>
            <w:tcW w:w="1647" w:type="dxa"/>
          </w:tcPr>
          <w:p w14:paraId="6B398B10"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Frodsham</w:t>
            </w:r>
          </w:p>
        </w:tc>
        <w:tc>
          <w:tcPr>
            <w:tcW w:w="1909" w:type="dxa"/>
          </w:tcPr>
          <w:p w14:paraId="1998C9AB" w14:textId="77777777" w:rsidR="006B2CED" w:rsidRPr="008508BA" w:rsidRDefault="006B2CED" w:rsidP="00B70151">
            <w:pPr>
              <w:jc w:val="center"/>
              <w:rPr>
                <w:rFonts w:ascii="Arial" w:hAnsi="Arial" w:cs="Arial"/>
                <w:b/>
                <w:bCs/>
                <w:sz w:val="22"/>
                <w:szCs w:val="22"/>
              </w:rPr>
            </w:pPr>
            <w:proofErr w:type="spellStart"/>
            <w:r w:rsidRPr="008508BA">
              <w:rPr>
                <w:rFonts w:ascii="Arial" w:hAnsi="Arial" w:cs="Arial"/>
                <w:b/>
                <w:bCs/>
                <w:sz w:val="22"/>
                <w:szCs w:val="22"/>
              </w:rPr>
              <w:t>Tattenhall</w:t>
            </w:r>
            <w:proofErr w:type="spellEnd"/>
          </w:p>
        </w:tc>
      </w:tr>
      <w:tr w:rsidR="006B2CED" w:rsidRPr="008508BA" w14:paraId="38F7261C" w14:textId="77777777" w:rsidTr="00B70151">
        <w:trPr>
          <w:trHeight w:val="352"/>
        </w:trPr>
        <w:tc>
          <w:tcPr>
            <w:tcW w:w="1478" w:type="dxa"/>
            <w:vAlign w:val="center"/>
          </w:tcPr>
          <w:p w14:paraId="079116AB"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Sunday</w:t>
            </w:r>
          </w:p>
        </w:tc>
        <w:tc>
          <w:tcPr>
            <w:tcW w:w="1501" w:type="dxa"/>
            <w:vAlign w:val="center"/>
          </w:tcPr>
          <w:p w14:paraId="641F4E73" w14:textId="1ACCDF98"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 xml:space="preserve">8am to </w:t>
            </w:r>
            <w:r w:rsidR="00FB62B8">
              <w:rPr>
                <w:rFonts w:ascii="Arial" w:hAnsi="Arial" w:cs="Arial"/>
                <w:color w:val="000000"/>
                <w:sz w:val="22"/>
                <w:szCs w:val="22"/>
                <w:lang w:eastAsia="en-GB"/>
              </w:rPr>
              <w:t>5</w:t>
            </w:r>
            <w:r w:rsidRPr="008508BA">
              <w:rPr>
                <w:rFonts w:ascii="Arial" w:hAnsi="Arial" w:cs="Arial"/>
                <w:color w:val="000000"/>
                <w:sz w:val="22"/>
                <w:szCs w:val="22"/>
                <w:lang w:eastAsia="en-GB"/>
              </w:rPr>
              <w:t>pm</w:t>
            </w:r>
          </w:p>
        </w:tc>
        <w:tc>
          <w:tcPr>
            <w:tcW w:w="1501" w:type="dxa"/>
            <w:vAlign w:val="center"/>
          </w:tcPr>
          <w:p w14:paraId="201171B0"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647" w:type="dxa"/>
            <w:vAlign w:val="center"/>
          </w:tcPr>
          <w:p w14:paraId="58433398"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909" w:type="dxa"/>
            <w:vAlign w:val="center"/>
          </w:tcPr>
          <w:p w14:paraId="251F3313"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r>
      <w:tr w:rsidR="006B2CED" w:rsidRPr="008508BA" w14:paraId="0EA7B38A" w14:textId="77777777" w:rsidTr="00B70151">
        <w:trPr>
          <w:trHeight w:val="343"/>
        </w:trPr>
        <w:tc>
          <w:tcPr>
            <w:tcW w:w="1478" w:type="dxa"/>
            <w:vAlign w:val="center"/>
          </w:tcPr>
          <w:p w14:paraId="7C7DE193"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Monday</w:t>
            </w:r>
          </w:p>
        </w:tc>
        <w:tc>
          <w:tcPr>
            <w:tcW w:w="1501" w:type="dxa"/>
            <w:vAlign w:val="center"/>
          </w:tcPr>
          <w:p w14:paraId="0443C9B4" w14:textId="4542A1EE"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 xml:space="preserve">8am to </w:t>
            </w:r>
            <w:r w:rsidR="00FB62B8">
              <w:rPr>
                <w:rFonts w:ascii="Arial" w:hAnsi="Arial" w:cs="Arial"/>
                <w:color w:val="000000"/>
                <w:sz w:val="22"/>
                <w:szCs w:val="22"/>
                <w:lang w:eastAsia="en-GB"/>
              </w:rPr>
              <w:t>5</w:t>
            </w:r>
            <w:r w:rsidRPr="008508BA">
              <w:rPr>
                <w:rFonts w:ascii="Arial" w:hAnsi="Arial" w:cs="Arial"/>
                <w:color w:val="000000"/>
                <w:sz w:val="22"/>
                <w:szCs w:val="22"/>
                <w:lang w:eastAsia="en-GB"/>
              </w:rPr>
              <w:t>pm</w:t>
            </w:r>
          </w:p>
        </w:tc>
        <w:tc>
          <w:tcPr>
            <w:tcW w:w="1501" w:type="dxa"/>
            <w:vAlign w:val="center"/>
          </w:tcPr>
          <w:p w14:paraId="379DB743"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647" w:type="dxa"/>
            <w:vAlign w:val="center"/>
          </w:tcPr>
          <w:p w14:paraId="388C5A02"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909" w:type="dxa"/>
            <w:vAlign w:val="center"/>
          </w:tcPr>
          <w:p w14:paraId="7B65E24E"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r>
      <w:tr w:rsidR="006B2CED" w:rsidRPr="008508BA" w14:paraId="0695804F" w14:textId="77777777" w:rsidTr="00B70151">
        <w:trPr>
          <w:trHeight w:val="343"/>
        </w:trPr>
        <w:tc>
          <w:tcPr>
            <w:tcW w:w="1478" w:type="dxa"/>
            <w:vAlign w:val="center"/>
          </w:tcPr>
          <w:p w14:paraId="529F6982"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Tuesday</w:t>
            </w:r>
          </w:p>
        </w:tc>
        <w:tc>
          <w:tcPr>
            <w:tcW w:w="1501" w:type="dxa"/>
            <w:vAlign w:val="center"/>
          </w:tcPr>
          <w:p w14:paraId="489F78CB" w14:textId="5EE58B02"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 xml:space="preserve">8am to </w:t>
            </w:r>
            <w:r w:rsidR="00FB62B8">
              <w:rPr>
                <w:rFonts w:ascii="Arial" w:hAnsi="Arial" w:cs="Arial"/>
                <w:color w:val="000000"/>
                <w:sz w:val="22"/>
                <w:szCs w:val="22"/>
                <w:lang w:eastAsia="en-GB"/>
              </w:rPr>
              <w:t>5</w:t>
            </w:r>
            <w:r w:rsidRPr="008508BA">
              <w:rPr>
                <w:rFonts w:ascii="Arial" w:hAnsi="Arial" w:cs="Arial"/>
                <w:color w:val="000000"/>
                <w:sz w:val="22"/>
                <w:szCs w:val="22"/>
                <w:lang w:eastAsia="en-GB"/>
              </w:rPr>
              <w:t>pm</w:t>
            </w:r>
          </w:p>
        </w:tc>
        <w:tc>
          <w:tcPr>
            <w:tcW w:w="1501" w:type="dxa"/>
            <w:vAlign w:val="center"/>
          </w:tcPr>
          <w:p w14:paraId="28E9D20C"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647" w:type="dxa"/>
            <w:vAlign w:val="center"/>
          </w:tcPr>
          <w:p w14:paraId="2D2BE915"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909" w:type="dxa"/>
            <w:vAlign w:val="center"/>
          </w:tcPr>
          <w:p w14:paraId="0899927D"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r>
      <w:tr w:rsidR="006B2CED" w:rsidRPr="008508BA" w14:paraId="0D9995B5" w14:textId="77777777" w:rsidTr="00B70151">
        <w:trPr>
          <w:trHeight w:val="352"/>
        </w:trPr>
        <w:tc>
          <w:tcPr>
            <w:tcW w:w="1478" w:type="dxa"/>
            <w:vAlign w:val="center"/>
          </w:tcPr>
          <w:p w14:paraId="30680156"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Wednesday</w:t>
            </w:r>
          </w:p>
        </w:tc>
        <w:tc>
          <w:tcPr>
            <w:tcW w:w="1501" w:type="dxa"/>
            <w:vAlign w:val="center"/>
          </w:tcPr>
          <w:p w14:paraId="21080148"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501" w:type="dxa"/>
            <w:vAlign w:val="center"/>
          </w:tcPr>
          <w:p w14:paraId="4B25F41B"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647" w:type="dxa"/>
            <w:vAlign w:val="center"/>
          </w:tcPr>
          <w:p w14:paraId="0A129E8E"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909" w:type="dxa"/>
            <w:vAlign w:val="center"/>
          </w:tcPr>
          <w:p w14:paraId="075972E6"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r>
      <w:tr w:rsidR="006B2CED" w:rsidRPr="008508BA" w14:paraId="69CBD76A" w14:textId="77777777" w:rsidTr="00B70151">
        <w:trPr>
          <w:trHeight w:val="352"/>
        </w:trPr>
        <w:tc>
          <w:tcPr>
            <w:tcW w:w="1478" w:type="dxa"/>
            <w:vAlign w:val="center"/>
          </w:tcPr>
          <w:p w14:paraId="5811046A"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Thursday</w:t>
            </w:r>
          </w:p>
        </w:tc>
        <w:tc>
          <w:tcPr>
            <w:tcW w:w="1501" w:type="dxa"/>
            <w:vAlign w:val="center"/>
          </w:tcPr>
          <w:p w14:paraId="1FE3312C"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501" w:type="dxa"/>
            <w:vAlign w:val="center"/>
          </w:tcPr>
          <w:p w14:paraId="69E23694"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647" w:type="dxa"/>
            <w:vAlign w:val="center"/>
          </w:tcPr>
          <w:p w14:paraId="2654C48D" w14:textId="77777777" w:rsidR="006B2CED" w:rsidRPr="00C0743D" w:rsidRDefault="006B2CED" w:rsidP="00B70151">
            <w:pPr>
              <w:jc w:val="center"/>
              <w:rPr>
                <w:rFonts w:ascii="Arial" w:hAnsi="Arial" w:cs="Arial"/>
                <w:color w:val="000000"/>
                <w:sz w:val="22"/>
                <w:szCs w:val="22"/>
                <w:lang w:eastAsia="en-GB"/>
              </w:rPr>
            </w:pPr>
            <w:r w:rsidRPr="00C0743D">
              <w:rPr>
                <w:rFonts w:ascii="Arial" w:hAnsi="Arial" w:cs="Arial"/>
                <w:color w:val="000000"/>
                <w:sz w:val="22"/>
                <w:szCs w:val="22"/>
                <w:lang w:eastAsia="en-GB"/>
              </w:rPr>
              <w:t>CLOSED</w:t>
            </w:r>
          </w:p>
        </w:tc>
        <w:tc>
          <w:tcPr>
            <w:tcW w:w="1909" w:type="dxa"/>
            <w:vAlign w:val="center"/>
          </w:tcPr>
          <w:p w14:paraId="1D052792"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r>
      <w:tr w:rsidR="006B2CED" w:rsidRPr="008508BA" w14:paraId="1AC36D69" w14:textId="77777777" w:rsidTr="00B70151">
        <w:trPr>
          <w:trHeight w:val="352"/>
        </w:trPr>
        <w:tc>
          <w:tcPr>
            <w:tcW w:w="1478" w:type="dxa"/>
            <w:vAlign w:val="center"/>
          </w:tcPr>
          <w:p w14:paraId="4C13F35F"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Friday</w:t>
            </w:r>
          </w:p>
        </w:tc>
        <w:tc>
          <w:tcPr>
            <w:tcW w:w="1501" w:type="dxa"/>
            <w:vAlign w:val="center"/>
          </w:tcPr>
          <w:p w14:paraId="346C52A3" w14:textId="12CAED50"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 xml:space="preserve">8am to </w:t>
            </w:r>
            <w:r w:rsidR="00FB62B8">
              <w:rPr>
                <w:rFonts w:ascii="Arial" w:hAnsi="Arial" w:cs="Arial"/>
                <w:color w:val="000000"/>
                <w:sz w:val="22"/>
                <w:szCs w:val="22"/>
                <w:lang w:eastAsia="en-GB"/>
              </w:rPr>
              <w:t>5</w:t>
            </w:r>
            <w:r w:rsidRPr="008508BA">
              <w:rPr>
                <w:rFonts w:ascii="Arial" w:hAnsi="Arial" w:cs="Arial"/>
                <w:color w:val="000000"/>
                <w:sz w:val="22"/>
                <w:szCs w:val="22"/>
                <w:lang w:eastAsia="en-GB"/>
              </w:rPr>
              <w:t>pm</w:t>
            </w:r>
          </w:p>
        </w:tc>
        <w:tc>
          <w:tcPr>
            <w:tcW w:w="1501" w:type="dxa"/>
            <w:vAlign w:val="center"/>
          </w:tcPr>
          <w:p w14:paraId="3AAB09DD"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647" w:type="dxa"/>
            <w:vAlign w:val="center"/>
          </w:tcPr>
          <w:p w14:paraId="4EA6242C"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909" w:type="dxa"/>
            <w:vAlign w:val="center"/>
          </w:tcPr>
          <w:p w14:paraId="56C6915C"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r>
      <w:tr w:rsidR="006B2CED" w:rsidRPr="008508BA" w14:paraId="17734AE0" w14:textId="77777777" w:rsidTr="00B70151">
        <w:trPr>
          <w:trHeight w:val="352"/>
        </w:trPr>
        <w:tc>
          <w:tcPr>
            <w:tcW w:w="1478" w:type="dxa"/>
            <w:vAlign w:val="center"/>
          </w:tcPr>
          <w:p w14:paraId="564919B4" w14:textId="77777777" w:rsidR="006B2CED" w:rsidRPr="008508BA" w:rsidRDefault="006B2CED" w:rsidP="00B70151">
            <w:pPr>
              <w:jc w:val="center"/>
              <w:rPr>
                <w:rFonts w:ascii="Arial" w:hAnsi="Arial" w:cs="Arial"/>
                <w:b/>
                <w:bCs/>
                <w:sz w:val="22"/>
                <w:szCs w:val="22"/>
              </w:rPr>
            </w:pPr>
            <w:r w:rsidRPr="008508BA">
              <w:rPr>
                <w:rFonts w:ascii="Arial" w:hAnsi="Arial" w:cs="Arial"/>
                <w:b/>
                <w:bCs/>
                <w:sz w:val="22"/>
                <w:szCs w:val="22"/>
              </w:rPr>
              <w:t>Saturday</w:t>
            </w:r>
          </w:p>
        </w:tc>
        <w:tc>
          <w:tcPr>
            <w:tcW w:w="1501" w:type="dxa"/>
            <w:vAlign w:val="center"/>
          </w:tcPr>
          <w:p w14:paraId="4D6BEFF2" w14:textId="065D9894"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 xml:space="preserve">8am to </w:t>
            </w:r>
            <w:r w:rsidR="00EA28D4">
              <w:rPr>
                <w:rFonts w:ascii="Arial" w:hAnsi="Arial" w:cs="Arial"/>
                <w:color w:val="000000"/>
                <w:sz w:val="22"/>
                <w:szCs w:val="22"/>
                <w:lang w:eastAsia="en-GB"/>
              </w:rPr>
              <w:t>6</w:t>
            </w:r>
            <w:r w:rsidR="00FB62B8">
              <w:rPr>
                <w:rFonts w:ascii="Arial" w:hAnsi="Arial" w:cs="Arial"/>
                <w:color w:val="000000"/>
                <w:sz w:val="22"/>
                <w:szCs w:val="22"/>
                <w:lang w:eastAsia="en-GB"/>
              </w:rPr>
              <w:t>5</w:t>
            </w:r>
            <w:r w:rsidRPr="008508BA">
              <w:rPr>
                <w:rFonts w:ascii="Arial" w:hAnsi="Arial" w:cs="Arial"/>
                <w:color w:val="000000"/>
                <w:sz w:val="22"/>
                <w:szCs w:val="22"/>
                <w:lang w:eastAsia="en-GB"/>
              </w:rPr>
              <w:t>m</w:t>
            </w:r>
          </w:p>
        </w:tc>
        <w:tc>
          <w:tcPr>
            <w:tcW w:w="1501" w:type="dxa"/>
            <w:vAlign w:val="center"/>
          </w:tcPr>
          <w:p w14:paraId="40E103C9"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647" w:type="dxa"/>
            <w:vAlign w:val="center"/>
          </w:tcPr>
          <w:p w14:paraId="135B0CF0"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c>
          <w:tcPr>
            <w:tcW w:w="1909" w:type="dxa"/>
            <w:vAlign w:val="center"/>
          </w:tcPr>
          <w:p w14:paraId="270C21A4" w14:textId="77777777" w:rsidR="006B2CED" w:rsidRPr="008508BA" w:rsidRDefault="006B2CED" w:rsidP="00B70151">
            <w:pPr>
              <w:jc w:val="center"/>
              <w:rPr>
                <w:rFonts w:ascii="Arial" w:hAnsi="Arial" w:cs="Arial"/>
                <w:color w:val="000000"/>
                <w:sz w:val="22"/>
                <w:szCs w:val="22"/>
                <w:lang w:eastAsia="en-GB"/>
              </w:rPr>
            </w:pPr>
            <w:r w:rsidRPr="008508BA">
              <w:rPr>
                <w:rFonts w:ascii="Arial" w:hAnsi="Arial" w:cs="Arial"/>
                <w:color w:val="000000"/>
                <w:sz w:val="22"/>
                <w:szCs w:val="22"/>
                <w:lang w:eastAsia="en-GB"/>
              </w:rPr>
              <w:t>8am to 4pm</w:t>
            </w:r>
          </w:p>
        </w:tc>
      </w:tr>
    </w:tbl>
    <w:p w14:paraId="278A97BA" w14:textId="77777777" w:rsidR="00301792" w:rsidRDefault="00301792" w:rsidP="006B2CED">
      <w:pPr>
        <w:spacing w:after="0"/>
        <w:rPr>
          <w:rFonts w:ascii="Arial" w:hAnsi="Arial" w:cs="Arial"/>
          <w:bCs/>
        </w:rPr>
      </w:pPr>
    </w:p>
    <w:p w14:paraId="257F00D1" w14:textId="518D168F" w:rsidR="00301792" w:rsidRDefault="00301792" w:rsidP="00301792">
      <w:pPr>
        <w:spacing w:after="0"/>
        <w:rPr>
          <w:rFonts w:ascii="Arial" w:hAnsi="Arial" w:cs="Arial"/>
        </w:rPr>
      </w:pPr>
      <w:r>
        <w:rPr>
          <w:rFonts w:ascii="Helvetica" w:hAnsi="Helvetica" w:cs="Helvetica"/>
          <w:color w:val="333333"/>
        </w:rPr>
        <w:t xml:space="preserve">Due to the volume of cars queuing to use the sites, you may be turned away before the closing time to allow those already on the sites to dispose of their waste safely before the site closes. </w:t>
      </w:r>
      <w:r>
        <w:rPr>
          <w:rFonts w:ascii="Arial" w:hAnsi="Arial" w:cs="Arial"/>
        </w:rPr>
        <w:t xml:space="preserve">Road signs have been placed outside Northwich, Chester, Winsford and Ellesmere Port recycling centres to show waiting points of 30 mins and one hour to access the site. </w:t>
      </w:r>
    </w:p>
    <w:p w14:paraId="2CA743C4" w14:textId="77777777" w:rsidR="00FB62B8" w:rsidRDefault="00FB62B8" w:rsidP="00301792">
      <w:pPr>
        <w:spacing w:after="0"/>
        <w:rPr>
          <w:rFonts w:ascii="Arial" w:hAnsi="Arial" w:cs="Arial"/>
        </w:rPr>
      </w:pPr>
    </w:p>
    <w:p w14:paraId="0A7E33C3" w14:textId="6F84104D" w:rsidR="00301792" w:rsidRDefault="00FB62B8">
      <w:r>
        <w:rPr>
          <w:rFonts w:ascii="Arial" w:hAnsi="Arial" w:cs="Arial"/>
          <w:bCs/>
        </w:rPr>
        <w:t xml:space="preserve">From 1 April 2021 all Household Waste Recycling Centres will open on their usual opening days and times. </w:t>
      </w:r>
      <w:hyperlink r:id="rId5" w:history="1">
        <w:r w:rsidR="00301792" w:rsidRPr="00301792">
          <w:rPr>
            <w:rStyle w:val="Hyperlink"/>
          </w:rPr>
          <w:t>Recycling centres</w:t>
        </w:r>
      </w:hyperlink>
    </w:p>
    <w:sectPr w:rsidR="00301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C6AA1"/>
    <w:multiLevelType w:val="hybridMultilevel"/>
    <w:tmpl w:val="E2CEB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ED"/>
    <w:rsid w:val="0014281D"/>
    <w:rsid w:val="001C030F"/>
    <w:rsid w:val="00301792"/>
    <w:rsid w:val="003875C6"/>
    <w:rsid w:val="003B022D"/>
    <w:rsid w:val="006B2CED"/>
    <w:rsid w:val="00BD5378"/>
    <w:rsid w:val="00EA28D4"/>
    <w:rsid w:val="00FB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9086"/>
  <w15:chartTrackingRefBased/>
  <w15:docId w15:val="{873C7DF3-6E4C-4CC8-8D75-F10C0C2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92"/>
    <w:pPr>
      <w:ind w:left="720"/>
      <w:contextualSpacing/>
    </w:pPr>
  </w:style>
  <w:style w:type="character" w:styleId="Hyperlink">
    <w:name w:val="Hyperlink"/>
    <w:basedOn w:val="DefaultParagraphFont"/>
    <w:uiPriority w:val="99"/>
    <w:unhideWhenUsed/>
    <w:rsid w:val="00301792"/>
    <w:rPr>
      <w:color w:val="0563C1" w:themeColor="hyperlink"/>
      <w:u w:val="single"/>
    </w:rPr>
  </w:style>
  <w:style w:type="character" w:styleId="UnresolvedMention">
    <w:name w:val="Unresolved Mention"/>
    <w:basedOn w:val="DefaultParagraphFont"/>
    <w:uiPriority w:val="99"/>
    <w:semiHidden/>
    <w:unhideWhenUsed/>
    <w:rsid w:val="0030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shirewestandchester.gov.uk/residents/waste-and-recycling/find-a-recycling-centre/find-a-recycling-centre-or-l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Liz</dc:creator>
  <cp:keywords/>
  <dc:description/>
  <cp:lastModifiedBy>Clerk To Gorstage Cemetery</cp:lastModifiedBy>
  <cp:revision>2</cp:revision>
  <dcterms:created xsi:type="dcterms:W3CDTF">2021-03-12T16:23:00Z</dcterms:created>
  <dcterms:modified xsi:type="dcterms:W3CDTF">2021-03-12T16:23:00Z</dcterms:modified>
</cp:coreProperties>
</file>